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C1EA" w14:textId="53F3881E" w:rsidR="006F38F3" w:rsidRDefault="006950DF" w:rsidP="00976FEF">
      <w:pPr>
        <w:pStyle w:val="NoSpacing"/>
        <w:pBdr>
          <w:bottom w:val="threeDEmboss" w:sz="24" w:space="1" w:color="auto"/>
        </w:pBdr>
        <w:rPr>
          <w:rFonts w:ascii="Perpetua Titling MT" w:hAnsi="Perpetua Titling MT"/>
          <w:b/>
          <w:i/>
          <w:color w:val="31849B" w:themeColor="accent5" w:themeShade="BF"/>
          <w:sz w:val="40"/>
        </w:rPr>
      </w:pPr>
      <w:r>
        <w:rPr>
          <w:rFonts w:ascii="Perpetua Titling MT" w:hAnsi="Perpetua Titling MT"/>
          <w:b/>
          <w:i/>
          <w:noProof/>
          <w:color w:val="31849B" w:themeColor="accent5" w:themeShade="BF"/>
          <w:sz w:val="20"/>
        </w:rPr>
        <w:drawing>
          <wp:inline distT="0" distB="0" distL="0" distR="0" wp14:anchorId="51E677E1" wp14:editId="39B79C4A">
            <wp:extent cx="4335780" cy="6697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6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697D" w14:textId="77777777" w:rsidR="006F38F3" w:rsidRDefault="006F38F3" w:rsidP="00976FEF">
      <w:pPr>
        <w:pStyle w:val="NoSpacing"/>
        <w:pBdr>
          <w:bottom w:val="threeDEmboss" w:sz="24" w:space="1" w:color="auto"/>
        </w:pBdr>
        <w:rPr>
          <w:rFonts w:ascii="Perpetua Titling MT" w:hAnsi="Perpetua Titling MT"/>
          <w:b/>
          <w:i/>
          <w:color w:val="31849B" w:themeColor="accent5" w:themeShade="BF"/>
          <w:sz w:val="40"/>
        </w:rPr>
      </w:pPr>
    </w:p>
    <w:p w14:paraId="3311B1C0" w14:textId="65C62BFD" w:rsidR="00976FEF" w:rsidRPr="00C15384" w:rsidRDefault="00976FEF" w:rsidP="00976FEF">
      <w:pPr>
        <w:pStyle w:val="NoSpacing"/>
        <w:pBdr>
          <w:bottom w:val="threeDEmboss" w:sz="24" w:space="1" w:color="auto"/>
        </w:pBdr>
        <w:rPr>
          <w:rFonts w:ascii="Perpetua Titling MT" w:hAnsi="Perpetua Titling MT"/>
          <w:b/>
          <w:i/>
          <w:color w:val="31849B" w:themeColor="accent5" w:themeShade="BF"/>
          <w:sz w:val="40"/>
        </w:rPr>
      </w:pPr>
      <w:r w:rsidRPr="00C15384">
        <w:rPr>
          <w:rFonts w:ascii="Perpetua Titling MT" w:hAnsi="Perpetua Titling MT"/>
          <w:b/>
          <w:i/>
          <w:color w:val="31849B" w:themeColor="accent5" w:themeShade="BF"/>
          <w:sz w:val="40"/>
        </w:rPr>
        <w:t xml:space="preserve">Pentad Associates, Inc.                                                                                                                 </w:t>
      </w:r>
    </w:p>
    <w:p w14:paraId="5C1189AF" w14:textId="51D174AF" w:rsidR="00976FEF" w:rsidRPr="0066040F" w:rsidRDefault="00976FEF" w:rsidP="00976FEF">
      <w:pPr>
        <w:pStyle w:val="Heading6"/>
      </w:pPr>
      <w:r w:rsidRPr="00EE425F">
        <w:rPr>
          <w:rFonts w:ascii="Calibri" w:hAnsi="Calibri"/>
          <w:color w:val="000066"/>
          <w:szCs w:val="22"/>
        </w:rPr>
        <w:t>PH:  303-688-4070</w:t>
      </w:r>
    </w:p>
    <w:p w14:paraId="27DBED65" w14:textId="0FF4A954" w:rsidR="00976FEF" w:rsidRDefault="00976FEF" w:rsidP="00976FEF">
      <w:pPr>
        <w:pStyle w:val="Heading6"/>
        <w:rPr>
          <w:rFonts w:ascii="Calibri" w:hAnsi="Calibri"/>
          <w:color w:val="000066"/>
          <w:szCs w:val="22"/>
        </w:rPr>
      </w:pPr>
      <w:r>
        <w:rPr>
          <w:rFonts w:ascii="Calibri" w:hAnsi="Calibri"/>
          <w:color w:val="000066"/>
          <w:szCs w:val="22"/>
        </w:rPr>
        <w:t xml:space="preserve">E-Mail: </w:t>
      </w:r>
      <w:hyperlink r:id="rId8" w:history="1">
        <w:r w:rsidR="006A4328" w:rsidRPr="006C5A9C">
          <w:rPr>
            <w:rStyle w:val="Hyperlink"/>
            <w:rFonts w:ascii="Calibri" w:hAnsi="Calibri"/>
            <w:szCs w:val="22"/>
          </w:rPr>
          <w:t>sam@pentadassoc.com</w:t>
        </w:r>
      </w:hyperlink>
      <w:r>
        <w:rPr>
          <w:rFonts w:ascii="Calibri" w:hAnsi="Calibri"/>
          <w:color w:val="000066"/>
          <w:szCs w:val="22"/>
        </w:rPr>
        <w:t xml:space="preserve"> Website: </w:t>
      </w:r>
      <w:hyperlink r:id="rId9" w:history="1">
        <w:r w:rsidRPr="0055553B">
          <w:rPr>
            <w:rStyle w:val="Hyperlink"/>
            <w:rFonts w:ascii="Calibri" w:hAnsi="Calibri"/>
            <w:szCs w:val="22"/>
          </w:rPr>
          <w:t>www.pentadassoc.com</w:t>
        </w:r>
      </w:hyperlink>
    </w:p>
    <w:p w14:paraId="3B2F07F8" w14:textId="77777777" w:rsidR="00976FEF" w:rsidRDefault="00976FEF" w:rsidP="00976FEF">
      <w:pPr>
        <w:pStyle w:val="Heading6"/>
        <w:jc w:val="center"/>
        <w:rPr>
          <w:rFonts w:ascii="Calibri" w:hAnsi="Calibri"/>
          <w:color w:val="000066"/>
          <w:sz w:val="32"/>
          <w:szCs w:val="32"/>
        </w:rPr>
      </w:pPr>
    </w:p>
    <w:p w14:paraId="16518B7D" w14:textId="77777777" w:rsidR="00976FEF" w:rsidRPr="00BE37B8" w:rsidRDefault="00976FEF" w:rsidP="00976FEF">
      <w:pPr>
        <w:pStyle w:val="Heading6"/>
        <w:jc w:val="center"/>
        <w:rPr>
          <w:rFonts w:ascii="Calibri" w:hAnsi="Calibri"/>
          <w:color w:val="000066"/>
          <w:sz w:val="28"/>
          <w:szCs w:val="28"/>
        </w:rPr>
      </w:pPr>
      <w:r w:rsidRPr="00BE37B8">
        <w:rPr>
          <w:rFonts w:ascii="Calibri" w:hAnsi="Calibri"/>
          <w:color w:val="000066"/>
          <w:sz w:val="28"/>
          <w:szCs w:val="28"/>
        </w:rPr>
        <w:t xml:space="preserve">MANUFACTURERS’ </w:t>
      </w:r>
      <w:r w:rsidRPr="00BE37B8">
        <w:rPr>
          <w:rFonts w:ascii="Calibri" w:hAnsi="Calibri"/>
          <w:color w:val="002060"/>
          <w:sz w:val="28"/>
          <w:szCs w:val="28"/>
        </w:rPr>
        <w:t>REPRESENTATIVE FOR</w:t>
      </w:r>
      <w:r w:rsidRPr="00BE37B8">
        <w:rPr>
          <w:rFonts w:ascii="Calibri" w:hAnsi="Calibri"/>
          <w:color w:val="000066"/>
          <w:sz w:val="28"/>
          <w:szCs w:val="28"/>
        </w:rPr>
        <w:t xml:space="preserve"> INDUSTRIAL EQUIPMENT</w:t>
      </w:r>
    </w:p>
    <w:p w14:paraId="1B54DA78" w14:textId="77777777" w:rsidR="00D201CF" w:rsidRPr="00BE37B8" w:rsidRDefault="00D201CF" w:rsidP="00976FEF">
      <w:pPr>
        <w:pStyle w:val="NoSpacing"/>
        <w:rPr>
          <w:szCs w:val="22"/>
        </w:rPr>
      </w:pPr>
    </w:p>
    <w:p w14:paraId="0EE07CDD" w14:textId="77777777" w:rsidR="00D63D1C" w:rsidRPr="00AB456F" w:rsidRDefault="00D63D1C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Boilers</w:t>
      </w:r>
    </w:p>
    <w:p w14:paraId="5522E2EE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Firetube &amp; Firebox (Wetback and Dryback) - Pressures up to 300 PSIG</w:t>
      </w:r>
    </w:p>
    <w:p w14:paraId="3668AA97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proofErr w:type="spellStart"/>
      <w:r w:rsidRPr="00BE37B8">
        <w:rPr>
          <w:rFonts w:ascii="Calibri" w:hAnsi="Calibri"/>
          <w:color w:val="002060"/>
          <w:szCs w:val="22"/>
        </w:rPr>
        <w:t>Watertube</w:t>
      </w:r>
      <w:proofErr w:type="spellEnd"/>
      <w:r w:rsidRPr="00BE37B8">
        <w:rPr>
          <w:rFonts w:ascii="Calibri" w:hAnsi="Calibri"/>
          <w:color w:val="002060"/>
          <w:szCs w:val="22"/>
        </w:rPr>
        <w:t xml:space="preserve"> (up to 500,000 </w:t>
      </w:r>
      <w:proofErr w:type="spellStart"/>
      <w:r w:rsidRPr="00BE37B8">
        <w:rPr>
          <w:rFonts w:ascii="Calibri" w:hAnsi="Calibri"/>
          <w:color w:val="002060"/>
          <w:szCs w:val="22"/>
        </w:rPr>
        <w:t>lbs</w:t>
      </w:r>
      <w:proofErr w:type="spellEnd"/>
      <w:r w:rsidRPr="00BE37B8">
        <w:rPr>
          <w:rFonts w:ascii="Calibri" w:hAnsi="Calibri"/>
          <w:color w:val="002060"/>
          <w:szCs w:val="22"/>
        </w:rPr>
        <w:t>/</w:t>
      </w:r>
      <w:proofErr w:type="spellStart"/>
      <w:r w:rsidRPr="00BE37B8">
        <w:rPr>
          <w:rFonts w:ascii="Calibri" w:hAnsi="Calibri"/>
          <w:color w:val="002060"/>
          <w:szCs w:val="22"/>
        </w:rPr>
        <w:t>hr</w:t>
      </w:r>
      <w:proofErr w:type="spellEnd"/>
      <w:r w:rsidRPr="00BE37B8">
        <w:rPr>
          <w:rFonts w:ascii="Calibri" w:hAnsi="Calibri"/>
          <w:color w:val="002060"/>
          <w:szCs w:val="22"/>
        </w:rPr>
        <w:t>) - Pressures up to 1250 PSIG</w:t>
      </w:r>
    </w:p>
    <w:p w14:paraId="68652C6F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 xml:space="preserve">Waste Heat (up to 400,000 </w:t>
      </w:r>
      <w:proofErr w:type="spellStart"/>
      <w:r w:rsidRPr="00BE37B8">
        <w:rPr>
          <w:rFonts w:ascii="Calibri" w:hAnsi="Calibri"/>
          <w:color w:val="002060"/>
          <w:szCs w:val="22"/>
        </w:rPr>
        <w:t>lbs</w:t>
      </w:r>
      <w:proofErr w:type="spellEnd"/>
      <w:r w:rsidRPr="00BE37B8">
        <w:rPr>
          <w:rFonts w:ascii="Calibri" w:hAnsi="Calibri"/>
          <w:color w:val="002060"/>
          <w:szCs w:val="22"/>
        </w:rPr>
        <w:t>/</w:t>
      </w:r>
      <w:proofErr w:type="spellStart"/>
      <w:r w:rsidRPr="00BE37B8">
        <w:rPr>
          <w:rFonts w:ascii="Calibri" w:hAnsi="Calibri"/>
          <w:color w:val="002060"/>
          <w:szCs w:val="22"/>
        </w:rPr>
        <w:t>hr</w:t>
      </w:r>
      <w:proofErr w:type="spellEnd"/>
      <w:r w:rsidRPr="00BE37B8">
        <w:rPr>
          <w:rFonts w:ascii="Calibri" w:hAnsi="Calibri"/>
          <w:color w:val="002060"/>
          <w:szCs w:val="22"/>
        </w:rPr>
        <w:t>) - 900 PSIG.; 1-40 MW</w:t>
      </w:r>
    </w:p>
    <w:p w14:paraId="0C668667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Electric and Condensing (500,000-4 MM BTU/</w:t>
      </w:r>
      <w:proofErr w:type="spellStart"/>
      <w:r w:rsidRPr="00BE37B8">
        <w:rPr>
          <w:rFonts w:ascii="Calibri" w:hAnsi="Calibri"/>
          <w:color w:val="002060"/>
          <w:szCs w:val="22"/>
        </w:rPr>
        <w:t>hr</w:t>
      </w:r>
      <w:proofErr w:type="spellEnd"/>
      <w:r w:rsidRPr="00BE37B8">
        <w:rPr>
          <w:rFonts w:ascii="Calibri" w:hAnsi="Calibri"/>
          <w:color w:val="002060"/>
          <w:szCs w:val="22"/>
        </w:rPr>
        <w:t>)</w:t>
      </w:r>
    </w:p>
    <w:p w14:paraId="543EDC5B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</w:p>
    <w:p w14:paraId="0A987F14" w14:textId="77777777" w:rsidR="00D63D1C" w:rsidRPr="00AB456F" w:rsidRDefault="00D63D1C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Burners</w:t>
      </w:r>
    </w:p>
    <w:p w14:paraId="174FEAF3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Low NOX / Ultra Low NOX, Gas &amp; Oil (1 to 300 MM BTU/</w:t>
      </w:r>
      <w:proofErr w:type="spellStart"/>
      <w:r w:rsidRPr="00BE37B8">
        <w:rPr>
          <w:rFonts w:ascii="Calibri" w:hAnsi="Calibri"/>
          <w:color w:val="002060"/>
          <w:szCs w:val="22"/>
        </w:rPr>
        <w:t>hr</w:t>
      </w:r>
      <w:proofErr w:type="spellEnd"/>
      <w:r w:rsidRPr="00BE37B8">
        <w:rPr>
          <w:rFonts w:ascii="Calibri" w:hAnsi="Calibri"/>
          <w:color w:val="002060"/>
          <w:szCs w:val="22"/>
        </w:rPr>
        <w:t>)</w:t>
      </w:r>
    </w:p>
    <w:p w14:paraId="2AE9B41D" w14:textId="5A6580A9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Duct, Rotary Kiln, Fluid Bed, Radial Wall, Ethylene Cracking</w:t>
      </w:r>
      <w:r>
        <w:rPr>
          <w:rFonts w:ascii="Calibri" w:hAnsi="Calibri"/>
          <w:color w:val="002060"/>
          <w:szCs w:val="22"/>
        </w:rPr>
        <w:t xml:space="preserve">; </w:t>
      </w:r>
      <w:r w:rsidRPr="00BE37B8">
        <w:rPr>
          <w:rFonts w:ascii="Calibri" w:hAnsi="Calibri"/>
          <w:color w:val="002060"/>
          <w:szCs w:val="22"/>
        </w:rPr>
        <w:t>Process Heaters</w:t>
      </w:r>
    </w:p>
    <w:p w14:paraId="15EFCA93" w14:textId="77777777" w:rsidR="00D201CF" w:rsidRPr="00BE37B8" w:rsidRDefault="00D201C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</w:p>
    <w:p w14:paraId="365CA67B" w14:textId="77777777" w:rsidR="00976FEF" w:rsidRPr="00AB456F" w:rsidRDefault="00976FE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Boiler Room Auxiliaries</w:t>
      </w:r>
    </w:p>
    <w:p w14:paraId="1B6B958D" w14:textId="77777777" w:rsidR="00976FEF" w:rsidRPr="00BE37B8" w:rsidRDefault="00976FE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Feedwater Systems, Critical Fuel Systems, Chemical Feed Systems</w:t>
      </w:r>
    </w:p>
    <w:p w14:paraId="09550609" w14:textId="210D5750" w:rsidR="00976FEF" w:rsidRPr="00BE37B8" w:rsidRDefault="00976FE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Burner Management &amp; Control Systems</w:t>
      </w:r>
    </w:p>
    <w:p w14:paraId="17DB5A3A" w14:textId="75F00E10" w:rsidR="00A55978" w:rsidRPr="00BE37B8" w:rsidRDefault="00A55978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Fans &amp; Dampers</w:t>
      </w:r>
      <w:r w:rsidR="005C7878" w:rsidRPr="00BE37B8">
        <w:rPr>
          <w:rFonts w:asciiTheme="minorHAnsi" w:hAnsiTheme="minorHAnsi"/>
          <w:color w:val="000066"/>
          <w:szCs w:val="22"/>
        </w:rPr>
        <w:t>, Gas Shut-Off Valves, Safety Relief Valves</w:t>
      </w:r>
    </w:p>
    <w:p w14:paraId="4372A4B4" w14:textId="77777777" w:rsidR="00D201CF" w:rsidRPr="00BE37B8" w:rsidRDefault="00D201CF" w:rsidP="00D63D1C">
      <w:pPr>
        <w:pStyle w:val="NoSpacing"/>
        <w:rPr>
          <w:rFonts w:asciiTheme="minorHAnsi" w:hAnsiTheme="minorHAnsi"/>
          <w:b/>
          <w:szCs w:val="22"/>
        </w:rPr>
      </w:pPr>
    </w:p>
    <w:p w14:paraId="7F31D952" w14:textId="269A44D9" w:rsidR="00976FEF" w:rsidRPr="00AB456F" w:rsidRDefault="00976FE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Steam</w:t>
      </w:r>
      <w:r w:rsidR="005C7878" w:rsidRPr="00AB456F">
        <w:rPr>
          <w:rFonts w:asciiTheme="minorHAnsi" w:hAnsiTheme="minorHAnsi"/>
          <w:b/>
          <w:sz w:val="28"/>
          <w:szCs w:val="28"/>
        </w:rPr>
        <w:t>/Gas</w:t>
      </w:r>
      <w:r w:rsidRPr="00AB456F">
        <w:rPr>
          <w:rFonts w:asciiTheme="minorHAnsi" w:hAnsiTheme="minorHAnsi"/>
          <w:b/>
          <w:sz w:val="28"/>
          <w:szCs w:val="28"/>
        </w:rPr>
        <w:t xml:space="preserve"> Turbines &amp; Steam Surface Condensers</w:t>
      </w:r>
    </w:p>
    <w:p w14:paraId="366B1866" w14:textId="77777777" w:rsidR="00976FEF" w:rsidRPr="00BE37B8" w:rsidRDefault="00976FE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Single &amp; Multi-Stage Steam Turbines and Surface Condensers</w:t>
      </w:r>
    </w:p>
    <w:p w14:paraId="4593D367" w14:textId="4DB1BDA5" w:rsidR="00976FEF" w:rsidRDefault="00976FE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Steam Turbine Generators</w:t>
      </w:r>
      <w:r w:rsidR="005C7878" w:rsidRPr="00BE37B8">
        <w:rPr>
          <w:rFonts w:asciiTheme="minorHAnsi" w:hAnsiTheme="minorHAnsi"/>
          <w:color w:val="000066"/>
          <w:szCs w:val="22"/>
        </w:rPr>
        <w:t>, Gas Turbine Generators</w:t>
      </w:r>
    </w:p>
    <w:p w14:paraId="4AE711BB" w14:textId="77777777" w:rsidR="00D63D1C" w:rsidRPr="00BE37B8" w:rsidRDefault="00D63D1C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Steam Surface Condensers (10MW to 1000MW output)</w:t>
      </w:r>
    </w:p>
    <w:p w14:paraId="55523B7A" w14:textId="77777777" w:rsidR="00D201CF" w:rsidRPr="00BE37B8" w:rsidRDefault="00D201CF" w:rsidP="00D63D1C">
      <w:pPr>
        <w:pStyle w:val="NoSpacing"/>
        <w:jc w:val="center"/>
        <w:rPr>
          <w:szCs w:val="22"/>
        </w:rPr>
      </w:pPr>
    </w:p>
    <w:p w14:paraId="55E01E9B" w14:textId="77777777" w:rsidR="00976FEF" w:rsidRPr="00AB456F" w:rsidRDefault="00976FE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Gas, Air &amp; Water Filtration</w:t>
      </w:r>
    </w:p>
    <w:p w14:paraId="1B6805C2" w14:textId="4948D44D" w:rsidR="00976FEF" w:rsidRPr="00BE37B8" w:rsidRDefault="00976FE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 xml:space="preserve">Industrial Water Treatment, Air Pollution Control and Gas &amp; Liquid Filtration </w:t>
      </w:r>
      <w:proofErr w:type="gramStart"/>
      <w:r w:rsidRPr="00BE37B8">
        <w:rPr>
          <w:rFonts w:asciiTheme="minorHAnsi" w:hAnsiTheme="minorHAnsi"/>
          <w:color w:val="000066"/>
          <w:szCs w:val="22"/>
        </w:rPr>
        <w:t>Systems</w:t>
      </w:r>
      <w:r w:rsidR="00BE37B8">
        <w:rPr>
          <w:rFonts w:asciiTheme="minorHAnsi" w:hAnsiTheme="minorHAnsi"/>
          <w:color w:val="000066"/>
          <w:szCs w:val="22"/>
        </w:rPr>
        <w:t xml:space="preserve">;   </w:t>
      </w:r>
      <w:proofErr w:type="gramEnd"/>
      <w:r w:rsidRPr="00BE37B8">
        <w:rPr>
          <w:rFonts w:asciiTheme="minorHAnsi" w:hAnsiTheme="minorHAnsi"/>
          <w:color w:val="000066"/>
          <w:szCs w:val="22"/>
        </w:rPr>
        <w:t>RTO, SCR &amp; Catalytic Oxidation Systems</w:t>
      </w:r>
    </w:p>
    <w:p w14:paraId="5A983F85" w14:textId="1DC9C8FB" w:rsidR="00D201CF" w:rsidRPr="00BE37B8" w:rsidRDefault="00D201CF" w:rsidP="00D63D1C">
      <w:pPr>
        <w:pStyle w:val="NoSpacing"/>
        <w:rPr>
          <w:szCs w:val="22"/>
        </w:rPr>
      </w:pPr>
    </w:p>
    <w:p w14:paraId="53EFB383" w14:textId="77777777" w:rsidR="00D63D1C" w:rsidRDefault="00D63D1C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14:paraId="36CB0200" w14:textId="77777777" w:rsidR="00D63D1C" w:rsidRDefault="00D63D1C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14:paraId="395CE2C1" w14:textId="77777777" w:rsidR="00D63D1C" w:rsidRDefault="00D63D1C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14:paraId="39FB692A" w14:textId="2518896D" w:rsidR="00976FEF" w:rsidRPr="00AB456F" w:rsidRDefault="00976FE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Rental &amp; Reconditioned Equipment and Equipment Service</w:t>
      </w:r>
    </w:p>
    <w:p w14:paraId="0FD76552" w14:textId="0139D404" w:rsidR="0057015C" w:rsidRPr="00BE37B8" w:rsidRDefault="00976FEF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Heat Exchanger &amp; Boiler Reconditioning, Equipment Rental &amp; Service</w:t>
      </w:r>
    </w:p>
    <w:p w14:paraId="6AAC7A9A" w14:textId="69B4953D" w:rsidR="00BC08B9" w:rsidRPr="00BE37B8" w:rsidRDefault="00BC08B9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Rental Boilers (30 HP to 250,000 PPH), Rental Chillers (20-600 tons)</w:t>
      </w:r>
    </w:p>
    <w:p w14:paraId="4F3AFBF7" w14:textId="77777777" w:rsidR="00AB456F" w:rsidRPr="00D63D1C" w:rsidRDefault="00AB456F" w:rsidP="00D63D1C">
      <w:pPr>
        <w:pStyle w:val="NoSpacing"/>
        <w:jc w:val="center"/>
        <w:rPr>
          <w:rFonts w:asciiTheme="minorHAnsi" w:hAnsiTheme="minorHAnsi"/>
          <w:b/>
          <w:szCs w:val="22"/>
        </w:rPr>
      </w:pPr>
    </w:p>
    <w:p w14:paraId="01BB1B2B" w14:textId="4B7E8180" w:rsidR="00976FEF" w:rsidRPr="00AB456F" w:rsidRDefault="0057015C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C</w:t>
      </w:r>
      <w:r w:rsidR="005C7878" w:rsidRPr="00AB456F">
        <w:rPr>
          <w:rFonts w:asciiTheme="minorHAnsi" w:hAnsiTheme="minorHAnsi"/>
          <w:b/>
          <w:sz w:val="28"/>
          <w:szCs w:val="28"/>
        </w:rPr>
        <w:t>ombustion</w:t>
      </w:r>
      <w:r w:rsidR="00976FEF" w:rsidRPr="00AB456F">
        <w:rPr>
          <w:rFonts w:asciiTheme="minorHAnsi" w:hAnsiTheme="minorHAnsi"/>
          <w:b/>
          <w:sz w:val="28"/>
          <w:szCs w:val="28"/>
        </w:rPr>
        <w:t xml:space="preserve"> Systems</w:t>
      </w:r>
      <w:r w:rsidR="005C7878" w:rsidRPr="00AB456F">
        <w:rPr>
          <w:rFonts w:asciiTheme="minorHAnsi" w:hAnsiTheme="minorHAnsi"/>
          <w:b/>
          <w:sz w:val="28"/>
          <w:szCs w:val="28"/>
        </w:rPr>
        <w:t xml:space="preserve"> &amp; Monitoring</w:t>
      </w:r>
    </w:p>
    <w:p w14:paraId="020DF66C" w14:textId="435FBC07" w:rsidR="00976FEF" w:rsidRPr="00BE37B8" w:rsidRDefault="005C7878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CEMS/PEMS Emission Monitoring</w:t>
      </w:r>
      <w:r w:rsidR="00976FEF" w:rsidRPr="00BE37B8">
        <w:rPr>
          <w:rFonts w:asciiTheme="minorHAnsi" w:hAnsiTheme="minorHAnsi"/>
          <w:color w:val="000066"/>
          <w:szCs w:val="22"/>
        </w:rPr>
        <w:t>, Flare Gas Recovery Systems, Thermal Oxidizers, Vapor Control Systems</w:t>
      </w:r>
    </w:p>
    <w:p w14:paraId="0B9410B0" w14:textId="77777777" w:rsidR="00D63D1C" w:rsidRDefault="00D63D1C" w:rsidP="00D63D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7BBDA4E6" w14:textId="439D7B68" w:rsidR="006F38F3" w:rsidRPr="00AB456F" w:rsidRDefault="006F38F3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Pre-engineered Direct Fired Heaters</w:t>
      </w:r>
    </w:p>
    <w:p w14:paraId="7F4E2557" w14:textId="77777777" w:rsidR="006F38F3" w:rsidRPr="00BE37B8" w:rsidRDefault="006F38F3" w:rsidP="00D63D1C">
      <w:pPr>
        <w:pStyle w:val="NoSpacing"/>
        <w:jc w:val="center"/>
        <w:rPr>
          <w:rFonts w:asciiTheme="minorHAnsi" w:hAnsiTheme="minorHAnsi"/>
          <w:color w:val="000066"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Hot Oil Heaters, Regeneration Gas Heaters, &amp; Vaporization Service (Duties from 2MMBTU/</w:t>
      </w:r>
      <w:proofErr w:type="spellStart"/>
      <w:r w:rsidRPr="00BE37B8">
        <w:rPr>
          <w:rFonts w:asciiTheme="minorHAnsi" w:hAnsiTheme="minorHAnsi"/>
          <w:color w:val="000066"/>
          <w:szCs w:val="22"/>
        </w:rPr>
        <w:t>hr</w:t>
      </w:r>
      <w:proofErr w:type="spellEnd"/>
      <w:r w:rsidRPr="00BE37B8">
        <w:rPr>
          <w:rFonts w:asciiTheme="minorHAnsi" w:hAnsiTheme="minorHAnsi"/>
          <w:color w:val="000066"/>
          <w:szCs w:val="22"/>
        </w:rPr>
        <w:t xml:space="preserve"> to &gt;65MMBTU/</w:t>
      </w:r>
      <w:proofErr w:type="spellStart"/>
      <w:r w:rsidRPr="00BE37B8">
        <w:rPr>
          <w:rFonts w:asciiTheme="minorHAnsi" w:hAnsiTheme="minorHAnsi"/>
          <w:color w:val="000066"/>
          <w:szCs w:val="22"/>
        </w:rPr>
        <w:t>hr</w:t>
      </w:r>
      <w:proofErr w:type="spellEnd"/>
      <w:r w:rsidRPr="00BE37B8">
        <w:rPr>
          <w:rFonts w:asciiTheme="minorHAnsi" w:hAnsiTheme="minorHAnsi"/>
          <w:color w:val="000066"/>
          <w:szCs w:val="22"/>
        </w:rPr>
        <w:t>).</w:t>
      </w:r>
    </w:p>
    <w:p w14:paraId="7286F2A3" w14:textId="46492646" w:rsidR="006F38F3" w:rsidRPr="00BE37B8" w:rsidRDefault="006F38F3" w:rsidP="00D63D1C">
      <w:pPr>
        <w:pStyle w:val="NoSpacing"/>
        <w:jc w:val="center"/>
        <w:rPr>
          <w:rFonts w:ascii="Calibri" w:hAnsi="Calibri"/>
          <w:b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Related heater auxiliary systems including Combustion Management Skids and Hot Oil Circulation Skids</w:t>
      </w:r>
    </w:p>
    <w:p w14:paraId="1E20F4F6" w14:textId="77777777" w:rsidR="00D201CF" w:rsidRPr="00BE37B8" w:rsidRDefault="00D201CF" w:rsidP="00D63D1C">
      <w:pPr>
        <w:pStyle w:val="NoSpacing"/>
        <w:jc w:val="center"/>
        <w:rPr>
          <w:rFonts w:asciiTheme="minorHAnsi" w:hAnsiTheme="minorHAnsi"/>
          <w:b/>
          <w:szCs w:val="22"/>
        </w:rPr>
      </w:pPr>
    </w:p>
    <w:p w14:paraId="632BD1F0" w14:textId="77777777" w:rsidR="00D201CF" w:rsidRPr="00AB456F" w:rsidRDefault="00D201C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Custom Designed API 560 Style Fired Heaters</w:t>
      </w:r>
    </w:p>
    <w:p w14:paraId="11752B05" w14:textId="06A0D584" w:rsidR="006F38F3" w:rsidRPr="00BE37B8" w:rsidRDefault="00D201CF" w:rsidP="00D63D1C">
      <w:pPr>
        <w:pStyle w:val="NoSpacing"/>
        <w:jc w:val="center"/>
        <w:rPr>
          <w:rFonts w:ascii="Calibri" w:hAnsi="Calibri"/>
          <w:b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All general refinery services including Crude &amp; Vacuum Service, Reboilers and Reactor Feed Heaters</w:t>
      </w:r>
    </w:p>
    <w:p w14:paraId="61E2397F" w14:textId="77777777" w:rsidR="00D201CF" w:rsidRPr="00BE37B8" w:rsidRDefault="00D201CF" w:rsidP="00D63D1C">
      <w:pPr>
        <w:pStyle w:val="NoSpacing"/>
        <w:jc w:val="center"/>
        <w:rPr>
          <w:rFonts w:ascii="Calibri" w:hAnsi="Calibri"/>
          <w:b/>
          <w:szCs w:val="22"/>
        </w:rPr>
      </w:pPr>
    </w:p>
    <w:p w14:paraId="0BAF37F1" w14:textId="7929319E" w:rsidR="00D201CF" w:rsidRPr="00AB456F" w:rsidRDefault="00D201C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Heater Revamps</w:t>
      </w:r>
    </w:p>
    <w:p w14:paraId="319DBED8" w14:textId="76EE66D0" w:rsidR="00D201CF" w:rsidRPr="00BE37B8" w:rsidRDefault="00D201CF" w:rsidP="00D63D1C">
      <w:pPr>
        <w:pStyle w:val="NoSpacing"/>
        <w:jc w:val="center"/>
        <w:rPr>
          <w:rFonts w:ascii="Calibri" w:hAnsi="Calibri"/>
          <w:b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Retubes, Metallurgy Upgrades, Convection Section Replacements, Burner Retrofits, Stack &amp; Damper Replacement, Air Preheater Revamps, Emergency Response</w:t>
      </w:r>
    </w:p>
    <w:p w14:paraId="651E1159" w14:textId="77777777" w:rsidR="00D201CF" w:rsidRPr="00BE37B8" w:rsidRDefault="00D201CF" w:rsidP="00D63D1C">
      <w:pPr>
        <w:pStyle w:val="NoSpacing"/>
        <w:jc w:val="center"/>
        <w:rPr>
          <w:rFonts w:ascii="Calibri" w:hAnsi="Calibri"/>
          <w:b/>
          <w:szCs w:val="22"/>
        </w:rPr>
      </w:pPr>
    </w:p>
    <w:p w14:paraId="62417193" w14:textId="77777777" w:rsidR="00D201CF" w:rsidRPr="00AB456F" w:rsidRDefault="00D201CF" w:rsidP="00D63D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AB456F">
        <w:rPr>
          <w:rFonts w:asciiTheme="minorHAnsi" w:hAnsiTheme="minorHAnsi"/>
          <w:b/>
          <w:sz w:val="28"/>
          <w:szCs w:val="28"/>
        </w:rPr>
        <w:t>Fired Heater Performance Studies &amp; Field Services</w:t>
      </w:r>
    </w:p>
    <w:p w14:paraId="54B8E651" w14:textId="04D72992" w:rsidR="00D201CF" w:rsidRPr="00BE37B8" w:rsidRDefault="00D201CF" w:rsidP="00D63D1C">
      <w:pPr>
        <w:pStyle w:val="NoSpacing"/>
        <w:jc w:val="center"/>
        <w:rPr>
          <w:rFonts w:ascii="Calibri" w:hAnsi="Calibri"/>
          <w:b/>
          <w:szCs w:val="22"/>
        </w:rPr>
      </w:pPr>
      <w:r w:rsidRPr="00BE37B8">
        <w:rPr>
          <w:rFonts w:asciiTheme="minorHAnsi" w:hAnsiTheme="minorHAnsi"/>
          <w:color w:val="000066"/>
          <w:szCs w:val="22"/>
        </w:rPr>
        <w:t>Efficiency Optimization Studies, Emissions/NOx Reduction Studies, Heater Tuning, Mechanical Inspections, Start-up &amp; Commissioning</w:t>
      </w:r>
    </w:p>
    <w:p w14:paraId="79A01196" w14:textId="77777777" w:rsidR="00AB456F" w:rsidRPr="00AB456F" w:rsidRDefault="00AB456F" w:rsidP="00D63D1C">
      <w:pPr>
        <w:pStyle w:val="NoSpacing"/>
        <w:rPr>
          <w:rFonts w:ascii="Calibri" w:hAnsi="Calibri"/>
          <w:b/>
          <w:szCs w:val="22"/>
        </w:rPr>
      </w:pPr>
    </w:p>
    <w:p w14:paraId="0A372F31" w14:textId="5838286A" w:rsidR="00B739EA" w:rsidRPr="00AB456F" w:rsidRDefault="00B739EA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Feedwater Systems</w:t>
      </w:r>
    </w:p>
    <w:p w14:paraId="021A2699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 xml:space="preserve">Tray and Spray Deaerators (200 to 400000 </w:t>
      </w:r>
      <w:proofErr w:type="spellStart"/>
      <w:r w:rsidRPr="00BE37B8">
        <w:rPr>
          <w:rFonts w:ascii="Calibri" w:hAnsi="Calibri"/>
          <w:color w:val="002060"/>
          <w:szCs w:val="22"/>
        </w:rPr>
        <w:t>lbs</w:t>
      </w:r>
      <w:proofErr w:type="spellEnd"/>
      <w:r w:rsidRPr="00BE37B8">
        <w:rPr>
          <w:rFonts w:ascii="Calibri" w:hAnsi="Calibri"/>
          <w:color w:val="002060"/>
          <w:szCs w:val="22"/>
        </w:rPr>
        <w:t>/</w:t>
      </w:r>
      <w:proofErr w:type="spellStart"/>
      <w:r w:rsidRPr="00BE37B8">
        <w:rPr>
          <w:rFonts w:ascii="Calibri" w:hAnsi="Calibri"/>
          <w:color w:val="002060"/>
          <w:szCs w:val="22"/>
        </w:rPr>
        <w:t>hr</w:t>
      </w:r>
      <w:proofErr w:type="spellEnd"/>
      <w:r w:rsidRPr="00BE37B8">
        <w:rPr>
          <w:rFonts w:ascii="Calibri" w:hAnsi="Calibri"/>
          <w:color w:val="002060"/>
          <w:szCs w:val="22"/>
        </w:rPr>
        <w:t>)</w:t>
      </w:r>
    </w:p>
    <w:p w14:paraId="0F31A77D" w14:textId="041CC2A3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Condensate Tanks, Feedwater Pumps</w:t>
      </w:r>
      <w:r w:rsidR="001B6555" w:rsidRPr="00BE37B8">
        <w:rPr>
          <w:rFonts w:ascii="Calibri" w:hAnsi="Calibri"/>
          <w:color w:val="002060"/>
          <w:szCs w:val="22"/>
        </w:rPr>
        <w:t xml:space="preserve">, </w:t>
      </w:r>
      <w:r w:rsidRPr="00BE37B8">
        <w:rPr>
          <w:rFonts w:ascii="Calibri" w:hAnsi="Calibri"/>
          <w:color w:val="002060"/>
          <w:szCs w:val="22"/>
        </w:rPr>
        <w:t>Blowdown Tanks</w:t>
      </w:r>
    </w:p>
    <w:p w14:paraId="55B2990B" w14:textId="77777777" w:rsidR="00D63D1C" w:rsidRDefault="00D63D1C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2B4CAB57" w14:textId="70BE759A" w:rsidR="001B6555" w:rsidRPr="00AB456F" w:rsidRDefault="001B6555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Fans &amp; Dampers</w:t>
      </w:r>
    </w:p>
    <w:p w14:paraId="3755F70E" w14:textId="11C6D2C6" w:rsidR="001B6555" w:rsidRPr="00BE37B8" w:rsidRDefault="001B6555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 xml:space="preserve">Butterfly, Guillotine, Louver, Diverters &amp; Tee </w:t>
      </w:r>
      <w:proofErr w:type="gramStart"/>
      <w:r w:rsidRPr="00BE37B8">
        <w:rPr>
          <w:rFonts w:ascii="Calibri" w:hAnsi="Calibri"/>
          <w:color w:val="002060"/>
          <w:szCs w:val="22"/>
        </w:rPr>
        <w:t>Dampers</w:t>
      </w:r>
      <w:r w:rsidR="00D63D1C">
        <w:rPr>
          <w:rFonts w:ascii="Calibri" w:hAnsi="Calibri"/>
          <w:color w:val="002060"/>
          <w:szCs w:val="22"/>
        </w:rPr>
        <w:t>;</w:t>
      </w:r>
      <w:proofErr w:type="gramEnd"/>
      <w:r w:rsidR="00D63D1C">
        <w:rPr>
          <w:rFonts w:ascii="Calibri" w:hAnsi="Calibri"/>
          <w:color w:val="002060"/>
          <w:szCs w:val="22"/>
        </w:rPr>
        <w:t xml:space="preserve"> </w:t>
      </w:r>
    </w:p>
    <w:p w14:paraId="036AB916" w14:textId="016A1E1C" w:rsidR="001B6555" w:rsidRPr="00BE37B8" w:rsidRDefault="001B6555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Centrifugal, Axial Fans</w:t>
      </w:r>
    </w:p>
    <w:p w14:paraId="6CF1EEE5" w14:textId="77777777" w:rsidR="00D201CF" w:rsidRPr="00BE37B8" w:rsidRDefault="00D201CF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</w:p>
    <w:p w14:paraId="0FC77AF3" w14:textId="77777777" w:rsidR="00D63D1C" w:rsidRDefault="00D63D1C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516571EB" w14:textId="0305C79D" w:rsidR="00B739EA" w:rsidRPr="00AB456F" w:rsidRDefault="00B739EA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Controls</w:t>
      </w:r>
    </w:p>
    <w:p w14:paraId="3A630C72" w14:textId="2C51DA7A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Boiler Management</w:t>
      </w:r>
      <w:r w:rsidR="001B6555" w:rsidRPr="00BE37B8">
        <w:rPr>
          <w:rFonts w:ascii="Calibri" w:hAnsi="Calibri"/>
          <w:color w:val="002060"/>
          <w:szCs w:val="22"/>
        </w:rPr>
        <w:t xml:space="preserve">, </w:t>
      </w:r>
      <w:r w:rsidRPr="00BE37B8">
        <w:rPr>
          <w:rFonts w:ascii="Calibri" w:hAnsi="Calibri"/>
          <w:color w:val="002060"/>
          <w:szCs w:val="22"/>
        </w:rPr>
        <w:t>Combustion Control</w:t>
      </w:r>
      <w:r w:rsidR="00BE37B8">
        <w:rPr>
          <w:rFonts w:ascii="Calibri" w:hAnsi="Calibri"/>
          <w:color w:val="002060"/>
          <w:szCs w:val="22"/>
        </w:rPr>
        <w:t>, Balance of Plant</w:t>
      </w:r>
    </w:p>
    <w:p w14:paraId="3C109A9F" w14:textId="4EE0B9AC" w:rsidR="008759CF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HDMI Screens and Monitors</w:t>
      </w:r>
    </w:p>
    <w:p w14:paraId="1BD18D97" w14:textId="77777777" w:rsidR="00D201CF" w:rsidRPr="00BE37B8" w:rsidRDefault="00D201CF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</w:p>
    <w:p w14:paraId="34F734E7" w14:textId="77777777" w:rsidR="00B739EA" w:rsidRPr="00AB456F" w:rsidRDefault="00B739EA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Chemical Feed Systems</w:t>
      </w:r>
    </w:p>
    <w:p w14:paraId="69885EEA" w14:textId="09CC34E2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Metering Pumps</w:t>
      </w:r>
      <w:r w:rsidR="001B6555" w:rsidRPr="00BE37B8">
        <w:rPr>
          <w:rFonts w:ascii="Calibri" w:hAnsi="Calibri"/>
          <w:color w:val="002060"/>
          <w:szCs w:val="22"/>
        </w:rPr>
        <w:t xml:space="preserve">, </w:t>
      </w:r>
      <w:r w:rsidRPr="00BE37B8">
        <w:rPr>
          <w:rFonts w:ascii="Calibri" w:hAnsi="Calibri"/>
          <w:color w:val="002060"/>
          <w:szCs w:val="22"/>
        </w:rPr>
        <w:t>Chemical Feed Tanks &amp; Systems</w:t>
      </w:r>
    </w:p>
    <w:p w14:paraId="7D73FBD2" w14:textId="169AF647" w:rsidR="00BC08B9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Glycol, Filter &amp; Bypass Feeders</w:t>
      </w:r>
    </w:p>
    <w:p w14:paraId="36083F80" w14:textId="77777777" w:rsidR="00D201CF" w:rsidRPr="00BE37B8" w:rsidRDefault="00D201CF" w:rsidP="00D63D1C">
      <w:pPr>
        <w:pStyle w:val="NoSpacing"/>
        <w:rPr>
          <w:rFonts w:ascii="Calibri" w:hAnsi="Calibri"/>
          <w:b/>
          <w:szCs w:val="22"/>
        </w:rPr>
      </w:pPr>
    </w:p>
    <w:p w14:paraId="45A36372" w14:textId="5A85A618" w:rsidR="00BC08B9" w:rsidRPr="00AB456F" w:rsidRDefault="00BC08B9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Industrial Water Treatment</w:t>
      </w:r>
    </w:p>
    <w:p w14:paraId="282AF949" w14:textId="77777777" w:rsidR="00BC08B9" w:rsidRPr="00BE37B8" w:rsidRDefault="00BC08B9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Condensate Treatment, Reverse Osmosis, Ion Exchange, Clarifiers, Softeners, Simplex, Duplex &amp; Automatic Strainers</w:t>
      </w:r>
    </w:p>
    <w:p w14:paraId="1F299847" w14:textId="77777777" w:rsidR="00D201CF" w:rsidRPr="00BE37B8" w:rsidRDefault="00D201CF" w:rsidP="00D63D1C">
      <w:pPr>
        <w:pStyle w:val="NoSpacing"/>
        <w:rPr>
          <w:rFonts w:ascii="Calibri" w:hAnsi="Calibri"/>
          <w:b/>
          <w:szCs w:val="22"/>
        </w:rPr>
      </w:pPr>
    </w:p>
    <w:p w14:paraId="768F1A51" w14:textId="467304E8" w:rsidR="00B739EA" w:rsidRPr="00AB456F" w:rsidRDefault="00B739EA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Heat Exchangers</w:t>
      </w:r>
      <w:r w:rsidR="005C7878" w:rsidRPr="00AB456F">
        <w:rPr>
          <w:rFonts w:ascii="Calibri" w:hAnsi="Calibri"/>
          <w:b/>
          <w:sz w:val="28"/>
          <w:szCs w:val="28"/>
        </w:rPr>
        <w:t xml:space="preserve"> &amp; Cooling Towers</w:t>
      </w:r>
    </w:p>
    <w:p w14:paraId="6AF179D4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 xml:space="preserve">Gasketed Plate &amp; Frame, Welded, Brazed, Double-Wall </w:t>
      </w:r>
    </w:p>
    <w:p w14:paraId="210E6FED" w14:textId="41EB91EF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Shell &amp; Tube, Fin Fan</w:t>
      </w:r>
      <w:r w:rsidR="0076423F" w:rsidRPr="00BE37B8">
        <w:rPr>
          <w:rFonts w:ascii="Calibri" w:hAnsi="Calibri"/>
          <w:color w:val="002060"/>
          <w:szCs w:val="22"/>
        </w:rPr>
        <w:t>,</w:t>
      </w:r>
      <w:r w:rsidRPr="00BE37B8">
        <w:rPr>
          <w:rFonts w:ascii="Calibri" w:hAnsi="Calibri"/>
          <w:color w:val="002060"/>
          <w:szCs w:val="22"/>
        </w:rPr>
        <w:t xml:space="preserve"> Spiral &amp; Air Cooled</w:t>
      </w:r>
      <w:r w:rsidR="00D63D1C">
        <w:rPr>
          <w:rFonts w:ascii="Calibri" w:hAnsi="Calibri"/>
          <w:color w:val="002060"/>
          <w:szCs w:val="22"/>
        </w:rPr>
        <w:t xml:space="preserve">; </w:t>
      </w:r>
      <w:r w:rsidRPr="00BE37B8">
        <w:rPr>
          <w:rFonts w:ascii="Calibri" w:hAnsi="Calibri"/>
          <w:color w:val="002060"/>
          <w:szCs w:val="22"/>
        </w:rPr>
        <w:t>Air Dryers &amp; Air Preheaters</w:t>
      </w:r>
    </w:p>
    <w:p w14:paraId="7EC956D2" w14:textId="77777777" w:rsidR="00D201CF" w:rsidRPr="00BE37B8" w:rsidRDefault="00D201CF" w:rsidP="00D63D1C">
      <w:pPr>
        <w:pStyle w:val="NoSpacing"/>
        <w:rPr>
          <w:rFonts w:ascii="Calibri" w:hAnsi="Calibri"/>
          <w:color w:val="002060"/>
          <w:szCs w:val="22"/>
        </w:rPr>
      </w:pPr>
    </w:p>
    <w:p w14:paraId="12918A23" w14:textId="4A433892" w:rsidR="00B739EA" w:rsidRPr="00AB456F" w:rsidRDefault="008759CF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 xml:space="preserve">Gas &amp; </w:t>
      </w:r>
      <w:r w:rsidR="00B739EA" w:rsidRPr="00AB456F">
        <w:rPr>
          <w:rFonts w:ascii="Calibri" w:hAnsi="Calibri"/>
          <w:b/>
          <w:sz w:val="28"/>
          <w:szCs w:val="28"/>
        </w:rPr>
        <w:t>Steam Turbines</w:t>
      </w:r>
    </w:p>
    <w:p w14:paraId="5C858CC1" w14:textId="77777777" w:rsidR="00E52153" w:rsidRPr="00BE37B8" w:rsidRDefault="00E52153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 xml:space="preserve">1.8 MW Gas Turbine </w:t>
      </w:r>
      <w:proofErr w:type="spellStart"/>
      <w:r w:rsidRPr="00BE37B8">
        <w:rPr>
          <w:rFonts w:ascii="Calibri" w:hAnsi="Calibri"/>
          <w:color w:val="002060"/>
          <w:szCs w:val="22"/>
        </w:rPr>
        <w:t>GenSet</w:t>
      </w:r>
      <w:proofErr w:type="spellEnd"/>
    </w:p>
    <w:p w14:paraId="746D10F7" w14:textId="4E52E0C4" w:rsidR="0076423F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Standard Single Stage (1 hp-4,000 HP) and Standard Multi-stage</w:t>
      </w:r>
      <w:r w:rsidR="0076423F" w:rsidRPr="00BE37B8">
        <w:rPr>
          <w:rFonts w:ascii="Calibri" w:hAnsi="Calibri"/>
          <w:color w:val="002060"/>
          <w:szCs w:val="22"/>
        </w:rPr>
        <w:t>,</w:t>
      </w:r>
    </w:p>
    <w:p w14:paraId="1730D309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 xml:space="preserve"> (670 hp-9,400 HP) </w:t>
      </w:r>
    </w:p>
    <w:p w14:paraId="471CCB1F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Engineered Multi-stage (670 HP- 94,000 HP)</w:t>
      </w:r>
    </w:p>
    <w:p w14:paraId="36A94FB6" w14:textId="3948FA41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Engineered Steam Turbine Generator Sets (</w:t>
      </w:r>
      <w:r w:rsidR="005C7878" w:rsidRPr="00BE37B8">
        <w:rPr>
          <w:rFonts w:ascii="Calibri" w:hAnsi="Calibri"/>
          <w:color w:val="002060"/>
          <w:szCs w:val="22"/>
        </w:rPr>
        <w:t>1K</w:t>
      </w:r>
      <w:r w:rsidRPr="00BE37B8">
        <w:rPr>
          <w:rFonts w:ascii="Calibri" w:hAnsi="Calibri"/>
          <w:color w:val="002060"/>
          <w:szCs w:val="22"/>
        </w:rPr>
        <w:t>W - 100 MW)</w:t>
      </w:r>
    </w:p>
    <w:p w14:paraId="67F89C5E" w14:textId="77777777" w:rsidR="00D201CF" w:rsidRPr="00BE37B8" w:rsidRDefault="00D201CF" w:rsidP="00D63D1C">
      <w:pPr>
        <w:pStyle w:val="NoSpacing"/>
        <w:rPr>
          <w:rFonts w:ascii="Calibri" w:hAnsi="Calibri"/>
          <w:b/>
          <w:color w:val="002060"/>
          <w:szCs w:val="22"/>
        </w:rPr>
      </w:pPr>
    </w:p>
    <w:p w14:paraId="0E7B61C3" w14:textId="487AD6BD" w:rsidR="00B739EA" w:rsidRPr="00AB456F" w:rsidRDefault="00B739EA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>Air Pollution Control, Gas &amp; Liquid Filtration</w:t>
      </w:r>
    </w:p>
    <w:p w14:paraId="2E622BA4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Pulsejet Fabric Filter Dust Collectors, Venturi &amp; Packed Bed Scrubbers, Tower Packing</w:t>
      </w:r>
    </w:p>
    <w:p w14:paraId="06A84C3B" w14:textId="4CCCBC97" w:rsidR="00BC08B9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Regenerative Thermal Oxidizers (Flameless NOx-Free Abatement), SCR &amp; Catalytic Oxidation Systems</w:t>
      </w:r>
      <w:r w:rsidR="00D63D1C">
        <w:rPr>
          <w:rFonts w:ascii="Calibri" w:hAnsi="Calibri"/>
          <w:color w:val="002060"/>
          <w:szCs w:val="22"/>
        </w:rPr>
        <w:t xml:space="preserve">; </w:t>
      </w:r>
      <w:r w:rsidRPr="00BE37B8">
        <w:rPr>
          <w:rFonts w:ascii="Calibri" w:hAnsi="Calibri"/>
          <w:color w:val="002060"/>
          <w:szCs w:val="22"/>
        </w:rPr>
        <w:t>Coalescing Filters</w:t>
      </w:r>
      <w:r w:rsidR="00D63D1C">
        <w:rPr>
          <w:rFonts w:ascii="Calibri" w:hAnsi="Calibri"/>
          <w:color w:val="002060"/>
          <w:szCs w:val="22"/>
        </w:rPr>
        <w:t xml:space="preserve">; </w:t>
      </w:r>
      <w:r w:rsidR="008759CF" w:rsidRPr="00BE37B8">
        <w:rPr>
          <w:rFonts w:ascii="Calibri" w:hAnsi="Calibri"/>
          <w:color w:val="002060"/>
          <w:szCs w:val="22"/>
        </w:rPr>
        <w:t>PEMS &amp; CEMS</w:t>
      </w:r>
    </w:p>
    <w:p w14:paraId="5DF655CA" w14:textId="4793ABCC" w:rsidR="006F38F3" w:rsidRPr="00BE37B8" w:rsidRDefault="006F38F3" w:rsidP="00D63D1C">
      <w:pPr>
        <w:pStyle w:val="NoSpacing"/>
        <w:jc w:val="center"/>
        <w:rPr>
          <w:rFonts w:ascii="Calibri" w:hAnsi="Calibri"/>
          <w:b/>
          <w:szCs w:val="22"/>
        </w:rPr>
      </w:pPr>
    </w:p>
    <w:p w14:paraId="3982A768" w14:textId="52A9FA5B" w:rsidR="00B739EA" w:rsidRPr="00AB456F" w:rsidRDefault="005C7878" w:rsidP="00D63D1C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AB456F">
        <w:rPr>
          <w:rFonts w:ascii="Calibri" w:hAnsi="Calibri"/>
          <w:b/>
          <w:sz w:val="28"/>
          <w:szCs w:val="28"/>
        </w:rPr>
        <w:t xml:space="preserve">Parts, </w:t>
      </w:r>
      <w:r w:rsidR="00B739EA" w:rsidRPr="00AB456F">
        <w:rPr>
          <w:rFonts w:ascii="Calibri" w:hAnsi="Calibri"/>
          <w:b/>
          <w:sz w:val="28"/>
          <w:szCs w:val="28"/>
        </w:rPr>
        <w:t>Service, Reconditioning &amp; Upgrades</w:t>
      </w:r>
    </w:p>
    <w:p w14:paraId="645D04D0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Plate &amp; Frame and Shell &amp; Tube Heat Exchangers – All Brands &amp; Sizes</w:t>
      </w:r>
    </w:p>
    <w:p w14:paraId="5F8E9D11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Single &amp; Multi-Stage Steam Turbines – All Brands &amp; Sizes</w:t>
      </w:r>
    </w:p>
    <w:p w14:paraId="7D2C7887" w14:textId="77777777" w:rsidR="00B739EA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Boiler Reconditioning</w:t>
      </w:r>
    </w:p>
    <w:p w14:paraId="05A0A6E4" w14:textId="10F2F08D" w:rsidR="00BC08B9" w:rsidRPr="00BE37B8" w:rsidRDefault="00B739EA" w:rsidP="00D63D1C">
      <w:pPr>
        <w:pStyle w:val="NoSpacing"/>
        <w:jc w:val="center"/>
        <w:rPr>
          <w:rFonts w:ascii="Calibri" w:hAnsi="Calibri"/>
          <w:color w:val="002060"/>
          <w:szCs w:val="22"/>
        </w:rPr>
      </w:pPr>
      <w:r w:rsidRPr="00BE37B8">
        <w:rPr>
          <w:rFonts w:ascii="Calibri" w:hAnsi="Calibri"/>
          <w:color w:val="002060"/>
          <w:szCs w:val="22"/>
        </w:rPr>
        <w:t>Used &amp; Reconditioned Equipment – Boilers, Chillers, Heat Exchangers, Steam Turbines</w:t>
      </w:r>
    </w:p>
    <w:sectPr w:rsidR="00BC08B9" w:rsidRPr="00BE37B8" w:rsidSect="006F38F3">
      <w:footerReference w:type="default" r:id="rId10"/>
      <w:footerReference w:type="first" r:id="rId11"/>
      <w:pgSz w:w="15840" w:h="12240" w:orient="landscape"/>
      <w:pgMar w:top="288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1DB0A" w14:textId="77777777" w:rsidR="00DF6EC5" w:rsidRDefault="00DF6EC5" w:rsidP="006F38F3">
      <w:pPr>
        <w:spacing w:after="0" w:line="240" w:lineRule="auto"/>
      </w:pPr>
      <w:r>
        <w:separator/>
      </w:r>
    </w:p>
  </w:endnote>
  <w:endnote w:type="continuationSeparator" w:id="0">
    <w:p w14:paraId="2F4DBA44" w14:textId="77777777" w:rsidR="00DF6EC5" w:rsidRDefault="00DF6EC5" w:rsidP="006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703" w14:textId="19472C92" w:rsidR="006F38F3" w:rsidRPr="006F38F3" w:rsidRDefault="006F38F3" w:rsidP="006F38F3">
    <w:pPr>
      <w:pStyle w:val="NoSpacing"/>
      <w:ind w:firstLine="720"/>
      <w:rPr>
        <w:rFonts w:ascii="Calibri" w:hAnsi="Calibri"/>
        <w:color w:val="002060"/>
        <w:sz w:val="28"/>
        <w:szCs w:val="28"/>
      </w:rPr>
    </w:pPr>
    <w:r w:rsidRPr="00BC08B9">
      <w:rPr>
        <w:rFonts w:ascii="Calibri" w:hAnsi="Calibri"/>
        <w:noProof/>
        <w:color w:val="002060"/>
        <w:sz w:val="28"/>
        <w:szCs w:val="28"/>
      </w:rPr>
      <w:drawing>
        <wp:inline distT="0" distB="0" distL="0" distR="0" wp14:anchorId="70E90875" wp14:editId="36F67128">
          <wp:extent cx="682388" cy="409434"/>
          <wp:effectExtent l="0" t="0" r="3810" b="0"/>
          <wp:docPr id="27" name="Picture 27" descr="foot-boil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-boiler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58" cy="41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8B9">
      <w:rPr>
        <w:rFonts w:ascii="Calibri" w:hAnsi="Calibri"/>
        <w:color w:val="002060"/>
        <w:sz w:val="28"/>
        <w:szCs w:val="28"/>
      </w:rPr>
      <w:tab/>
    </w:r>
    <w:r w:rsidRPr="00BC08B9"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 xml:space="preserve">   </w:t>
    </w:r>
    <w:r w:rsidRPr="00BC08B9">
      <w:rPr>
        <w:rFonts w:ascii="Calibri" w:hAnsi="Calibri"/>
        <w:noProof/>
        <w:color w:val="002060"/>
        <w:sz w:val="28"/>
        <w:szCs w:val="28"/>
      </w:rPr>
      <w:drawing>
        <wp:inline distT="0" distB="0" distL="0" distR="0" wp14:anchorId="275FE0BA" wp14:editId="243D0734">
          <wp:extent cx="614149" cy="386686"/>
          <wp:effectExtent l="0" t="0" r="0" b="0"/>
          <wp:docPr id="28" name="Picture 28" descr="foot-boil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-boiler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48" cy="39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8B9"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 xml:space="preserve">            </w:t>
    </w:r>
    <w:r w:rsidRPr="00BC08B9">
      <w:rPr>
        <w:rFonts w:ascii="Calibri" w:hAnsi="Calibri"/>
        <w:color w:val="002060"/>
        <w:sz w:val="28"/>
        <w:szCs w:val="28"/>
      </w:rPr>
      <w:tab/>
    </w:r>
    <w:r w:rsidRPr="00BC08B9">
      <w:rPr>
        <w:rFonts w:ascii="Calibri" w:hAnsi="Calibri"/>
        <w:noProof/>
        <w:color w:val="002060"/>
        <w:sz w:val="28"/>
        <w:szCs w:val="28"/>
      </w:rPr>
      <w:drawing>
        <wp:inline distT="0" distB="0" distL="0" distR="0" wp14:anchorId="544A223E" wp14:editId="3B1081E2">
          <wp:extent cx="314300" cy="395785"/>
          <wp:effectExtent l="0" t="0" r="0" b="4445"/>
          <wp:docPr id="29" name="Picture 29" descr="foot-boil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-boiler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65" cy="39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ab/>
    </w:r>
    <w:r w:rsidRPr="00BC08B9">
      <w:rPr>
        <w:noProof/>
        <w:color w:val="002060"/>
        <w:sz w:val="28"/>
        <w:szCs w:val="28"/>
      </w:rPr>
      <w:drawing>
        <wp:inline distT="0" distB="0" distL="0" distR="0" wp14:anchorId="4BA48013" wp14:editId="00D23811">
          <wp:extent cx="516665" cy="376734"/>
          <wp:effectExtent l="0" t="0" r="0" b="4445"/>
          <wp:docPr id="32" name="Picture 32" descr="foot-boil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oot-boiler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12" cy="38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8B9">
      <w:rPr>
        <w:rFonts w:ascii="Calibri" w:hAnsi="Calibri"/>
        <w:color w:val="002060"/>
        <w:sz w:val="28"/>
        <w:szCs w:val="28"/>
      </w:rPr>
      <w:tab/>
    </w:r>
    <w:r w:rsidRPr="00BC08B9">
      <w:rPr>
        <w:rFonts w:ascii="Calibri" w:hAnsi="Calibri"/>
        <w:color w:val="002060"/>
        <w:sz w:val="28"/>
        <w:szCs w:val="28"/>
      </w:rPr>
      <w:tab/>
      <w:t xml:space="preserve">  </w:t>
    </w:r>
    <w:r w:rsidRPr="00BC08B9">
      <w:rPr>
        <w:rFonts w:ascii="Calibri" w:hAnsi="Calibri"/>
        <w:color w:val="002060"/>
        <w:sz w:val="28"/>
        <w:szCs w:val="28"/>
      </w:rPr>
      <w:tab/>
    </w:r>
    <w:r w:rsidRPr="00BC08B9">
      <w:rPr>
        <w:noProof/>
        <w:color w:val="002060"/>
        <w:sz w:val="28"/>
        <w:szCs w:val="28"/>
      </w:rPr>
      <w:drawing>
        <wp:inline distT="0" distB="0" distL="0" distR="0" wp14:anchorId="1BBD8B84" wp14:editId="519E084B">
          <wp:extent cx="382137" cy="445825"/>
          <wp:effectExtent l="0" t="0" r="0" b="0"/>
          <wp:docPr id="33" name="Picture 33" descr="foot-boil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foot-boiler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73" cy="471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52DD" w14:textId="371512A8" w:rsidR="006F38F3" w:rsidRDefault="006F38F3">
    <w:pPr>
      <w:pStyle w:val="Footer"/>
    </w:pPr>
    <w:r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ab/>
    </w:r>
    <w:r w:rsidRPr="00BC08B9">
      <w:rPr>
        <w:rFonts w:ascii="Calibri" w:hAnsi="Calibri"/>
        <w:noProof/>
        <w:color w:val="002060"/>
        <w:sz w:val="28"/>
        <w:szCs w:val="28"/>
      </w:rPr>
      <w:drawing>
        <wp:inline distT="0" distB="0" distL="0" distR="0" wp14:anchorId="300EDD4E" wp14:editId="454CBC19">
          <wp:extent cx="682388" cy="409434"/>
          <wp:effectExtent l="0" t="0" r="3810" b="0"/>
          <wp:docPr id="34" name="Picture 34" descr="foot-boil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-boiler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58" cy="41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ab/>
    </w:r>
    <w:r w:rsidRPr="00BC08B9">
      <w:rPr>
        <w:rFonts w:ascii="Calibri" w:hAnsi="Calibri"/>
        <w:noProof/>
        <w:color w:val="002060"/>
        <w:sz w:val="28"/>
        <w:szCs w:val="28"/>
      </w:rPr>
      <w:drawing>
        <wp:inline distT="0" distB="0" distL="0" distR="0" wp14:anchorId="2BD8DEDA" wp14:editId="39EA2DE2">
          <wp:extent cx="614149" cy="386686"/>
          <wp:effectExtent l="0" t="0" r="0" b="0"/>
          <wp:docPr id="35" name="Picture 35" descr="foot-boil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-boiler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48" cy="39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8B9">
      <w:rPr>
        <w:rFonts w:ascii="Calibri" w:hAnsi="Calibri"/>
        <w:color w:val="002060"/>
        <w:sz w:val="28"/>
        <w:szCs w:val="28"/>
      </w:rPr>
      <w:tab/>
    </w:r>
    <w:r>
      <w:rPr>
        <w:rFonts w:ascii="Calibri" w:hAnsi="Calibri"/>
        <w:color w:val="002060"/>
        <w:sz w:val="28"/>
        <w:szCs w:val="28"/>
      </w:rPr>
      <w:t xml:space="preserve">            </w:t>
    </w:r>
    <w:r w:rsidRPr="00BC08B9">
      <w:rPr>
        <w:rFonts w:ascii="Calibri" w:hAnsi="Calibri"/>
        <w:color w:val="002060"/>
        <w:sz w:val="28"/>
        <w:szCs w:val="28"/>
      </w:rPr>
      <w:tab/>
    </w:r>
    <w:r w:rsidRPr="00BC08B9">
      <w:rPr>
        <w:rFonts w:ascii="Calibri" w:hAnsi="Calibri"/>
        <w:noProof/>
        <w:color w:val="002060"/>
        <w:sz w:val="28"/>
        <w:szCs w:val="28"/>
      </w:rPr>
      <w:drawing>
        <wp:inline distT="0" distB="0" distL="0" distR="0" wp14:anchorId="67EF0506" wp14:editId="57A0B3C9">
          <wp:extent cx="314300" cy="395785"/>
          <wp:effectExtent l="0" t="0" r="0" b="4445"/>
          <wp:docPr id="36" name="Picture 36" descr="foot-boil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-boiler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65" cy="39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5DBA" w14:textId="77777777" w:rsidR="00DF6EC5" w:rsidRDefault="00DF6EC5" w:rsidP="006F38F3">
      <w:pPr>
        <w:spacing w:after="0" w:line="240" w:lineRule="auto"/>
      </w:pPr>
      <w:r>
        <w:separator/>
      </w:r>
    </w:p>
  </w:footnote>
  <w:footnote w:type="continuationSeparator" w:id="0">
    <w:p w14:paraId="43B8EC24" w14:textId="77777777" w:rsidR="00DF6EC5" w:rsidRDefault="00DF6EC5" w:rsidP="006F3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EA"/>
    <w:rsid w:val="00161416"/>
    <w:rsid w:val="00162FB2"/>
    <w:rsid w:val="001B6555"/>
    <w:rsid w:val="0026526E"/>
    <w:rsid w:val="00314A66"/>
    <w:rsid w:val="00343850"/>
    <w:rsid w:val="003A7724"/>
    <w:rsid w:val="003E747A"/>
    <w:rsid w:val="00400234"/>
    <w:rsid w:val="00483E6F"/>
    <w:rsid w:val="005631EE"/>
    <w:rsid w:val="0057015C"/>
    <w:rsid w:val="005854F3"/>
    <w:rsid w:val="005B25BC"/>
    <w:rsid w:val="005C7878"/>
    <w:rsid w:val="006950DF"/>
    <w:rsid w:val="006A4328"/>
    <w:rsid w:val="006C2518"/>
    <w:rsid w:val="006F38F3"/>
    <w:rsid w:val="00732F5A"/>
    <w:rsid w:val="0076423F"/>
    <w:rsid w:val="00770A06"/>
    <w:rsid w:val="007E364D"/>
    <w:rsid w:val="007F252F"/>
    <w:rsid w:val="0086664A"/>
    <w:rsid w:val="008759CF"/>
    <w:rsid w:val="00904A4E"/>
    <w:rsid w:val="00976FEF"/>
    <w:rsid w:val="00A14AB2"/>
    <w:rsid w:val="00A20AF3"/>
    <w:rsid w:val="00A213FA"/>
    <w:rsid w:val="00A55978"/>
    <w:rsid w:val="00A725F0"/>
    <w:rsid w:val="00AB456F"/>
    <w:rsid w:val="00AE090E"/>
    <w:rsid w:val="00B739EA"/>
    <w:rsid w:val="00BC08B9"/>
    <w:rsid w:val="00BE37B8"/>
    <w:rsid w:val="00C9683F"/>
    <w:rsid w:val="00CF7F6B"/>
    <w:rsid w:val="00D201CF"/>
    <w:rsid w:val="00D47A4D"/>
    <w:rsid w:val="00D63D1C"/>
    <w:rsid w:val="00DC2EC6"/>
    <w:rsid w:val="00DF6EC5"/>
    <w:rsid w:val="00E02825"/>
    <w:rsid w:val="00E50E22"/>
    <w:rsid w:val="00E52153"/>
    <w:rsid w:val="00E53E1F"/>
    <w:rsid w:val="00E80A43"/>
    <w:rsid w:val="00EC1B4E"/>
    <w:rsid w:val="00F13A49"/>
    <w:rsid w:val="00F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EE04"/>
  <w15:docId w15:val="{28A424F0-88EA-4DB2-AD7D-923439B2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EA"/>
  </w:style>
  <w:style w:type="paragraph" w:styleId="Heading1">
    <w:name w:val="heading 1"/>
    <w:basedOn w:val="Normal"/>
    <w:next w:val="Normal"/>
    <w:link w:val="Heading1Char"/>
    <w:uiPriority w:val="9"/>
    <w:qFormat/>
    <w:rsid w:val="00B73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739EA"/>
    <w:pPr>
      <w:keepNext/>
      <w:spacing w:after="0" w:line="240" w:lineRule="auto"/>
      <w:jc w:val="right"/>
      <w:outlineLvl w:val="5"/>
    </w:pPr>
    <w:rPr>
      <w:rFonts w:ascii="Perpetua Titling MT" w:eastAsia="Times New Roman" w:hAnsi="Perpetua Titling MT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739EA"/>
    <w:rPr>
      <w:rFonts w:ascii="Perpetua Titling MT" w:eastAsia="Times New Roman" w:hAnsi="Perpetua Titling MT" w:cs="Times New Roman"/>
      <w:b/>
      <w:i/>
      <w:sz w:val="20"/>
      <w:szCs w:val="20"/>
    </w:rPr>
  </w:style>
  <w:style w:type="paragraph" w:styleId="NoSpacing">
    <w:name w:val="No Spacing"/>
    <w:uiPriority w:val="1"/>
    <w:qFormat/>
    <w:rsid w:val="00B739E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rsid w:val="00B739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A43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F3"/>
  </w:style>
  <w:style w:type="paragraph" w:styleId="Footer">
    <w:name w:val="footer"/>
    <w:basedOn w:val="Normal"/>
    <w:link w:val="FooterChar"/>
    <w:uiPriority w:val="99"/>
    <w:unhideWhenUsed/>
    <w:rsid w:val="006F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pentadasso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ntadassoc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8FB1-FEFC-4F76-B95E-CA474231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Bray</dc:creator>
  <cp:lastModifiedBy>Sam Miller</cp:lastModifiedBy>
  <cp:revision>2</cp:revision>
  <cp:lastPrinted>2020-09-22T19:12:00Z</cp:lastPrinted>
  <dcterms:created xsi:type="dcterms:W3CDTF">2021-01-28T17:35:00Z</dcterms:created>
  <dcterms:modified xsi:type="dcterms:W3CDTF">2021-01-28T17:35:00Z</dcterms:modified>
</cp:coreProperties>
</file>